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00" w:rsidRPr="00213500" w:rsidRDefault="00213500" w:rsidP="00213500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</w:rPr>
        <w:t>КРИТЕРИИ</w:t>
      </w:r>
    </w:p>
    <w:p w:rsidR="00213500" w:rsidRPr="00213500" w:rsidRDefault="00213500" w:rsidP="0021350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</w:rPr>
        <w:t>доступности и качества медицинской помощи</w:t>
      </w:r>
    </w:p>
    <w:p w:rsidR="00213500" w:rsidRPr="00213500" w:rsidRDefault="00213500" w:rsidP="00213500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386"/>
        <w:gridCol w:w="2545"/>
        <w:gridCol w:w="917"/>
        <w:gridCol w:w="917"/>
        <w:gridCol w:w="917"/>
      </w:tblGrid>
      <w:tr w:rsidR="00213500" w:rsidRPr="00213500" w:rsidTr="00EC269E">
        <w:trPr>
          <w:cantSplit/>
          <w:tblHeader/>
        </w:trPr>
        <w:tc>
          <w:tcPr>
            <w:tcW w:w="820" w:type="dxa"/>
            <w:vMerge w:val="restart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п</w:t>
            </w:r>
            <w:proofErr w:type="gramEnd"/>
            <w:r w:rsidRPr="00213500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493" w:type="dxa"/>
            <w:vMerge w:val="restart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624" w:type="dxa"/>
            <w:vMerge w:val="restart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Единица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826" w:type="dxa"/>
            <w:gridSpan w:val="3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по годам</w:t>
            </w:r>
          </w:p>
        </w:tc>
      </w:tr>
      <w:tr w:rsidR="00213500" w:rsidRPr="00213500" w:rsidTr="00EC269E">
        <w:trPr>
          <w:cantSplit/>
          <w:tblHeader/>
        </w:trPr>
        <w:tc>
          <w:tcPr>
            <w:tcW w:w="820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24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2023</w:t>
            </w:r>
          </w:p>
        </w:tc>
      </w:tr>
    </w:tbl>
    <w:p w:rsidR="00213500" w:rsidRPr="00213500" w:rsidRDefault="00213500" w:rsidP="0021350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386"/>
        <w:gridCol w:w="2545"/>
        <w:gridCol w:w="917"/>
        <w:gridCol w:w="917"/>
        <w:gridCol w:w="917"/>
      </w:tblGrid>
      <w:tr w:rsidR="00213500" w:rsidRPr="00213500" w:rsidTr="00EC269E">
        <w:trPr>
          <w:tblHeader/>
        </w:trPr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</w:t>
            </w:r>
          </w:p>
        </w:tc>
      </w:tr>
      <w:tr w:rsidR="00213500" w:rsidRPr="00213500" w:rsidTr="00EC269E">
        <w:tc>
          <w:tcPr>
            <w:tcW w:w="9763" w:type="dxa"/>
            <w:gridSpan w:val="6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Удовлетворенность сельского населения медицинской помощью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 от числа опрошенных сельских жителей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человек, умерших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трудоспособном возрасте, на 100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380,3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363,4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346,3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38,8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11,3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strike/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1 000 родившихся живыми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4,6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Младенческая смертность (сельское население)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1 000 родившихся живыми (сельское население)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5,8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Младенческая смертность (городское население)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1 000 родившихся живыми (городское население)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3,8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в возрасте до 1 года на дому в общем </w:t>
            </w:r>
            <w:r w:rsidRPr="00213500">
              <w:rPr>
                <w:kern w:val="2"/>
                <w:sz w:val="28"/>
                <w:szCs w:val="28"/>
              </w:rPr>
              <w:lastRenderedPageBreak/>
              <w:t>количестве умерших в возрасте до 1 года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9,4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детей в возрасте 0 – 4 года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1 000 родившихся живыми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6,1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число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1 000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12,2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населения (городское население)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число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1 000 человек населения (городское население)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12,1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населения (сельское население)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число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1 000 человек населения (сельское население)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12,3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в возрасте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 – 4 лет на дому в общем количестве умерших в возрасте 0 – 4 лет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15,4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Смертность детей в возрасте 0 – 17 лет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61,0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59,0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57,0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в возрасте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 – 17 лет на дому в общем количестве умерших в возрасте 0 – 17 лет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17,2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18,6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</w:t>
            </w:r>
            <w:r w:rsidRPr="00213500">
              <w:rPr>
                <w:kern w:val="2"/>
                <w:sz w:val="28"/>
                <w:szCs w:val="28"/>
              </w:rPr>
              <w:lastRenderedPageBreak/>
              <w:t>несовершеннолетних в общем количестве впервые в жизни зарегистрирован</w:t>
            </w:r>
            <w:r w:rsidRPr="00213500">
              <w:rPr>
                <w:kern w:val="2"/>
                <w:sz w:val="28"/>
                <w:szCs w:val="28"/>
              </w:rPr>
              <w:softHyphen/>
              <w:t>ных заболеваний в течение года у несовершеннолетних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80,0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90,0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14,5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17,2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впервые выявленных онкологических заболеваний при профилактических осмотрах, в том числе в рамках диспансеризации,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25,3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25,9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с даты установления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диагноза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5 лет и более,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в общем числе пациентов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со злокачественными новообразованиями,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находящихся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под диспансерным </w:t>
            </w:r>
            <w:r w:rsidRPr="00213500">
              <w:rPr>
                <w:kern w:val="2"/>
                <w:sz w:val="28"/>
                <w:szCs w:val="28"/>
              </w:rPr>
              <w:lastRenderedPageBreak/>
              <w:t>наблюдением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55,6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55,9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57,1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количестве выявленных случаев онкологических заболеваний в течение года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59,9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61,6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62,5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со злокачественными новообразованиями,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взятых под диспансерное наблюдение, в общем количестве пациентов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со злокачественными новообразованиями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96,9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97,0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97,1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со злокачественными новообразованиями, выявленных активно,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25,6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64,0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68,0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72,0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0,2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</w:t>
            </w:r>
            <w:r w:rsidRPr="00213500">
              <w:rPr>
                <w:kern w:val="2"/>
                <w:sz w:val="28"/>
                <w:szCs w:val="28"/>
              </w:rPr>
              <w:lastRenderedPageBreak/>
              <w:t xml:space="preserve">инфарктом миокарда, госпитализированных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в первые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37,0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13500">
              <w:rPr>
                <w:kern w:val="2"/>
                <w:sz w:val="28"/>
                <w:szCs w:val="28"/>
              </w:rPr>
              <w:t>стентирование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24,0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проведен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213500">
              <w:rPr>
                <w:kern w:val="2"/>
                <w:sz w:val="28"/>
                <w:szCs w:val="28"/>
              </w:rPr>
              <w:t>тромболизис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27,0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13500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36,9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45,5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острыми </w:t>
            </w:r>
            <w:r w:rsidRPr="00213500">
              <w:rPr>
                <w:kern w:val="2"/>
                <w:sz w:val="28"/>
                <w:szCs w:val="28"/>
              </w:rPr>
              <w:lastRenderedPageBreak/>
              <w:t xml:space="preserve">цереброваскулярными болезнями, госпитализированных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в первые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6 часов от начала заболевания,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46,0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13500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в первые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6 часов от начала заболевания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12,3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13500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10,5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пациентов, получивших паллиативную медицинскую помощь,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в общем количестве </w:t>
            </w:r>
            <w:r w:rsidRPr="00213500">
              <w:rPr>
                <w:kern w:val="2"/>
                <w:sz w:val="28"/>
                <w:szCs w:val="28"/>
              </w:rPr>
              <w:lastRenderedPageBreak/>
              <w:t>пациентов, нуждающихся в паллиативной медицинской помощи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не менее 92,0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не менее 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не менее 95,0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100,0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65</w:t>
            </w:r>
          </w:p>
        </w:tc>
      </w:tr>
      <w:tr w:rsidR="00213500" w:rsidRPr="00213500" w:rsidTr="00EC269E">
        <w:tc>
          <w:tcPr>
            <w:tcW w:w="9763" w:type="dxa"/>
            <w:gridSpan w:val="6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213500" w:rsidRPr="00213500" w:rsidTr="00EC269E">
        <w:tc>
          <w:tcPr>
            <w:tcW w:w="820" w:type="dxa"/>
            <w:vMerge w:val="restart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32,4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33,1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33,9</w:t>
            </w:r>
          </w:p>
        </w:tc>
      </w:tr>
      <w:tr w:rsidR="00213500" w:rsidRPr="00213500" w:rsidTr="00EC269E">
        <w:tc>
          <w:tcPr>
            <w:tcW w:w="820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Городское население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47,6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48,1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48,3</w:t>
            </w:r>
          </w:p>
        </w:tc>
      </w:tr>
      <w:tr w:rsidR="00213500" w:rsidRPr="00213500" w:rsidTr="00EC269E">
        <w:tc>
          <w:tcPr>
            <w:tcW w:w="820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Сельское население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15,5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17,3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17,4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17,6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6,0</w:t>
            </w:r>
          </w:p>
        </w:tc>
      </w:tr>
      <w:tr w:rsidR="00213500" w:rsidRPr="00213500" w:rsidTr="00EC269E">
        <w:tc>
          <w:tcPr>
            <w:tcW w:w="820" w:type="dxa"/>
            <w:vMerge w:val="restart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79,3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80,2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81,3</w:t>
            </w:r>
          </w:p>
        </w:tc>
      </w:tr>
      <w:tr w:rsidR="00213500" w:rsidRPr="00213500" w:rsidTr="00EC269E">
        <w:tc>
          <w:tcPr>
            <w:tcW w:w="820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Городское население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90,6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91,3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91,8</w:t>
            </w:r>
          </w:p>
        </w:tc>
      </w:tr>
      <w:tr w:rsidR="00213500" w:rsidRPr="00213500" w:rsidTr="00EC269E">
        <w:tc>
          <w:tcPr>
            <w:tcW w:w="820" w:type="dxa"/>
            <w:vMerge/>
            <w:hideMark/>
          </w:tcPr>
          <w:p w:rsidR="00213500" w:rsidRPr="00213500" w:rsidRDefault="00213500" w:rsidP="002135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Сельское население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51,8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52,4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52,9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34.1.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41,1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41,3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35,9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36,4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7,4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расходов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государственных гарантий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1,7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1,8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1,8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</w:t>
            </w:r>
            <w:r w:rsidRPr="00213500">
              <w:rPr>
                <w:kern w:val="2"/>
                <w:sz w:val="28"/>
                <w:szCs w:val="28"/>
              </w:rPr>
              <w:lastRenderedPageBreak/>
              <w:t>и/или результатов, установленных в региональных проектах национальных проектов «Здравоохранения»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41,8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53,1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59,0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39.2.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охвата профилактическими медицинскими осмотрами детей, подлежащих </w:t>
            </w:r>
            <w:r w:rsidRPr="00213500">
              <w:rPr>
                <w:kern w:val="2"/>
                <w:sz w:val="28"/>
                <w:szCs w:val="28"/>
              </w:rPr>
              <w:lastRenderedPageBreak/>
              <w:t xml:space="preserve">профилактическим медицинским осмотрам (сельское население) 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40.2.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охвата профилактическими медицинскими осмотрами детей, подлежащих профилактическим медицинским осмотрам (городское население) 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95,0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32,0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3,1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310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в общем количестве фельдшерско-акушерских пунктов и фельдшерских </w:t>
            </w:r>
            <w:r w:rsidRPr="00213500">
              <w:rPr>
                <w:kern w:val="2"/>
                <w:sz w:val="28"/>
                <w:szCs w:val="28"/>
              </w:rPr>
              <w:lastRenderedPageBreak/>
              <w:t xml:space="preserve">пунктов 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19,4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12,5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25,0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37,5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50,0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11000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11000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11000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48.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</w:t>
            </w:r>
            <w:r w:rsidRPr="00213500">
              <w:rPr>
                <w:kern w:val="2"/>
                <w:sz w:val="28"/>
                <w:szCs w:val="28"/>
              </w:rPr>
              <w:softHyphen/>
              <w:t>ны по месту жительства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Число пациентов, зарегистрированных на территории субъекта Российской Федерации по месту жительства,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 xml:space="preserve">за оказание паллиативной медицинской помощи </w:t>
            </w:r>
            <w:proofErr w:type="gramStart"/>
            <w:r w:rsidRPr="00213500">
              <w:rPr>
                <w:kern w:val="2"/>
                <w:sz w:val="28"/>
                <w:szCs w:val="28"/>
              </w:rPr>
              <w:t>которым</w:t>
            </w:r>
            <w:proofErr w:type="gramEnd"/>
            <w:r w:rsidRPr="00213500">
              <w:rPr>
                <w:kern w:val="2"/>
                <w:sz w:val="28"/>
                <w:szCs w:val="28"/>
              </w:rPr>
              <w:t xml:space="preserve"> в медицинских организациях других субъектов Российской Федерации компенсирова</w:t>
            </w:r>
            <w:r w:rsidRPr="00213500">
              <w:rPr>
                <w:kern w:val="2"/>
                <w:sz w:val="28"/>
                <w:szCs w:val="28"/>
              </w:rPr>
              <w:softHyphen/>
              <w:t>ны затраты на основании межрегионального соглашения</w:t>
            </w:r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–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Доля женщин,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proofErr w:type="gramStart"/>
            <w:r w:rsidRPr="00213500">
              <w:rPr>
                <w:kern w:val="2"/>
                <w:sz w:val="28"/>
                <w:szCs w:val="28"/>
              </w:rPr>
              <w:t>которым проведено экстракорпоральное оплодотворение в общем количестве женщин с бесплодием</w:t>
            </w:r>
            <w:proofErr w:type="gramEnd"/>
          </w:p>
        </w:tc>
        <w:tc>
          <w:tcPr>
            <w:tcW w:w="2624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50,0</w:t>
            </w:r>
          </w:p>
        </w:tc>
      </w:tr>
      <w:tr w:rsidR="00213500" w:rsidRPr="00213500" w:rsidTr="00EC269E">
        <w:tc>
          <w:tcPr>
            <w:tcW w:w="820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3493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 xml:space="preserve">Эффективность деятельности медицинских организаций, в том числе расположенных в городской и сельской местности </w:t>
            </w:r>
          </w:p>
          <w:p w:rsidR="00213500" w:rsidRPr="00213500" w:rsidRDefault="00213500" w:rsidP="002135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624" w:type="dxa"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213500">
              <w:rPr>
                <w:kern w:val="2"/>
                <w:sz w:val="28"/>
                <w:szCs w:val="28"/>
              </w:rPr>
              <w:t>Кп</w:t>
            </w:r>
            <w:proofErr w:type="spellEnd"/>
            <w:r w:rsidRPr="00213500">
              <w:rPr>
                <w:kern w:val="2"/>
                <w:sz w:val="28"/>
                <w:szCs w:val="28"/>
              </w:rPr>
              <w:t xml:space="preserve"> и Кс</w:t>
            </w:r>
          </w:p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  <w:hideMark/>
          </w:tcPr>
          <w:p w:rsidR="00213500" w:rsidRPr="00213500" w:rsidRDefault="00213500" w:rsidP="002135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213500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213500" w:rsidRPr="00213500" w:rsidRDefault="00213500" w:rsidP="00213500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13500" w:rsidRPr="00213500" w:rsidRDefault="00213500" w:rsidP="0021350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</w:rPr>
        <w:lastRenderedPageBreak/>
        <w:t>Примечание.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</w:rPr>
        <w:t>Используемые сокращения: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</w:rPr>
        <w:t>ВИЧ – вирус иммунодефицита человека;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13500">
        <w:rPr>
          <w:kern w:val="2"/>
          <w:sz w:val="28"/>
          <w:szCs w:val="28"/>
          <w:lang w:eastAsia="en-US"/>
        </w:rPr>
        <w:t>К</w:t>
      </w:r>
      <w:r w:rsidRPr="00213500">
        <w:rPr>
          <w:kern w:val="2"/>
          <w:sz w:val="28"/>
          <w:szCs w:val="28"/>
          <w:vertAlign w:val="subscript"/>
          <w:lang w:eastAsia="en-US"/>
        </w:rPr>
        <w:t>с</w:t>
      </w:r>
      <w:r w:rsidRPr="00213500">
        <w:rPr>
          <w:kern w:val="2"/>
          <w:sz w:val="28"/>
          <w:szCs w:val="28"/>
          <w:lang w:eastAsia="en-US"/>
        </w:rPr>
        <w:t xml:space="preserve"> – коэффициент финансовых затрат стационара;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13500">
        <w:rPr>
          <w:kern w:val="2"/>
          <w:sz w:val="28"/>
          <w:szCs w:val="28"/>
          <w:lang w:eastAsia="en-US"/>
        </w:rPr>
        <w:t>К</w:t>
      </w:r>
      <w:r w:rsidRPr="00213500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213500">
        <w:rPr>
          <w:kern w:val="2"/>
          <w:sz w:val="28"/>
          <w:szCs w:val="28"/>
          <w:vertAlign w:val="subscript"/>
          <w:lang w:eastAsia="en-US"/>
        </w:rPr>
        <w:t xml:space="preserve"> – </w:t>
      </w:r>
      <w:r w:rsidRPr="00213500">
        <w:rPr>
          <w:kern w:val="2"/>
          <w:sz w:val="28"/>
          <w:szCs w:val="28"/>
          <w:lang w:eastAsia="en-US"/>
        </w:rPr>
        <w:t>коэффициент финансовых затрат поликлиники;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213500">
        <w:rPr>
          <w:kern w:val="2"/>
          <w:sz w:val="28"/>
          <w:szCs w:val="28"/>
          <w:lang w:eastAsia="en-US"/>
        </w:rPr>
        <w:t>Минздравсоцразвития</w:t>
      </w:r>
      <w:proofErr w:type="spellEnd"/>
      <w:r w:rsidRPr="00213500">
        <w:rPr>
          <w:kern w:val="2"/>
          <w:sz w:val="28"/>
          <w:szCs w:val="28"/>
          <w:lang w:eastAsia="en-US"/>
        </w:rPr>
        <w:t xml:space="preserve"> России – Министерство здравоохранения и социального развития Российской Федерации;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13500">
        <w:rPr>
          <w:kern w:val="2"/>
          <w:sz w:val="28"/>
          <w:szCs w:val="28"/>
          <w:lang w:eastAsia="en-US"/>
        </w:rPr>
        <w:t>ОМС – обязательное медицинское страхование;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13500">
        <w:rPr>
          <w:kern w:val="2"/>
          <w:sz w:val="28"/>
          <w:szCs w:val="28"/>
          <w:lang w:eastAsia="en-US"/>
        </w:rPr>
        <w:t>СПИД – синдром приобретенного иммунодефицита;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213500">
        <w:rPr>
          <w:kern w:val="2"/>
          <w:sz w:val="28"/>
          <w:szCs w:val="28"/>
          <w:lang w:eastAsia="en-US"/>
        </w:rPr>
        <w:t>ТПГГ – Территориальная программа государственных гарантий.</w:t>
      </w:r>
    </w:p>
    <w:p w:rsidR="00213500" w:rsidRPr="00213500" w:rsidRDefault="00213500" w:rsidP="0021350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13500" w:rsidRPr="00213500" w:rsidRDefault="00213500" w:rsidP="00213500">
      <w:pPr>
        <w:rPr>
          <w:kern w:val="2"/>
          <w:sz w:val="28"/>
          <w:szCs w:val="28"/>
        </w:rPr>
      </w:pPr>
    </w:p>
    <w:p w:rsidR="00213500" w:rsidRPr="00213500" w:rsidRDefault="00213500" w:rsidP="00213500">
      <w:pPr>
        <w:rPr>
          <w:kern w:val="2"/>
          <w:sz w:val="28"/>
          <w:szCs w:val="28"/>
        </w:rPr>
      </w:pPr>
      <w:bookmarkStart w:id="0" w:name="_GoBack"/>
      <w:bookmarkEnd w:id="0"/>
    </w:p>
    <w:sectPr w:rsidR="00213500" w:rsidRPr="0021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213500"/>
    <w:rsid w:val="00961765"/>
    <w:rsid w:val="00B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5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50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21350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1350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1350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1350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350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350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350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50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2135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135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1350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13500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13500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13500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13500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3500"/>
  </w:style>
  <w:style w:type="paragraph" w:styleId="a3">
    <w:name w:val="Body Text"/>
    <w:basedOn w:val="a"/>
    <w:link w:val="a4"/>
    <w:uiPriority w:val="99"/>
    <w:rsid w:val="0021350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21350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213500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rsid w:val="002135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135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13500"/>
  </w:style>
  <w:style w:type="paragraph" w:styleId="ac">
    <w:name w:val="Balloon Text"/>
    <w:basedOn w:val="a"/>
    <w:link w:val="ad"/>
    <w:uiPriority w:val="99"/>
    <w:rsid w:val="002135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1350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21350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13500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21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1350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21350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213500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213500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213500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13500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213500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213500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213500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213500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21350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13500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213500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13500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213500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213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1350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213500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13500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213500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213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213500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213500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213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213500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213500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21350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213500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213500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213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213500"/>
    <w:rPr>
      <w:sz w:val="28"/>
    </w:rPr>
  </w:style>
  <w:style w:type="paragraph" w:styleId="aff0">
    <w:name w:val="No Spacing"/>
    <w:basedOn w:val="a"/>
    <w:link w:val="aff"/>
    <w:uiPriority w:val="1"/>
    <w:qFormat/>
    <w:rsid w:val="0021350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213500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21350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213500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21350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2135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21350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2135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21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1350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1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21350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213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213500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213500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213500"/>
    <w:rPr>
      <w:sz w:val="24"/>
    </w:rPr>
  </w:style>
  <w:style w:type="paragraph" w:customStyle="1" w:styleId="aff9">
    <w:name w:val="Таб_текст"/>
    <w:basedOn w:val="aff0"/>
    <w:link w:val="aff8"/>
    <w:qFormat/>
    <w:rsid w:val="00213500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213500"/>
    <w:rPr>
      <w:sz w:val="24"/>
    </w:rPr>
  </w:style>
  <w:style w:type="paragraph" w:customStyle="1" w:styleId="affb">
    <w:name w:val="Таб_заг"/>
    <w:basedOn w:val="aff0"/>
    <w:link w:val="affa"/>
    <w:qFormat/>
    <w:rsid w:val="00213500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21350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213500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213500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21350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21350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350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213500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213500"/>
    <w:rPr>
      <w:i/>
      <w:iCs/>
    </w:rPr>
  </w:style>
  <w:style w:type="character" w:styleId="affd">
    <w:name w:val="Intense Emphasis"/>
    <w:uiPriority w:val="21"/>
    <w:qFormat/>
    <w:rsid w:val="00213500"/>
    <w:rPr>
      <w:b/>
      <w:bCs/>
      <w:i/>
      <w:iCs/>
    </w:rPr>
  </w:style>
  <w:style w:type="character" w:styleId="affe">
    <w:name w:val="Subtle Reference"/>
    <w:uiPriority w:val="31"/>
    <w:qFormat/>
    <w:rsid w:val="00213500"/>
    <w:rPr>
      <w:smallCaps/>
    </w:rPr>
  </w:style>
  <w:style w:type="character" w:styleId="afff">
    <w:name w:val="Intense Reference"/>
    <w:uiPriority w:val="32"/>
    <w:qFormat/>
    <w:rsid w:val="00213500"/>
    <w:rPr>
      <w:b/>
      <w:bCs/>
      <w:smallCaps/>
    </w:rPr>
  </w:style>
  <w:style w:type="character" w:styleId="afff0">
    <w:name w:val="Book Title"/>
    <w:uiPriority w:val="33"/>
    <w:qFormat/>
    <w:rsid w:val="00213500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21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uiPriority w:val="99"/>
    <w:semiHidden/>
    <w:unhideWhenUsed/>
    <w:rsid w:val="00213500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213500"/>
    <w:rPr>
      <w:color w:val="800080" w:themeColor="followedHyperlink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"/>
    <w:semiHidden/>
    <w:rsid w:val="00213500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213500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Нижний колонтитул Знак1"/>
    <w:aliases w:val="Не удалять! Знак1"/>
    <w:basedOn w:val="a0"/>
    <w:uiPriority w:val="99"/>
    <w:semiHidden/>
    <w:rsid w:val="00213500"/>
  </w:style>
  <w:style w:type="character" w:customStyle="1" w:styleId="1c">
    <w:name w:val="Основной текст с отступом Знак1"/>
    <w:aliases w:val="Знак11 Знак1"/>
    <w:basedOn w:val="a0"/>
    <w:uiPriority w:val="99"/>
    <w:semiHidden/>
    <w:rsid w:val="00213500"/>
  </w:style>
  <w:style w:type="paragraph" w:customStyle="1" w:styleId="ConsPlusTitlePage">
    <w:name w:val="ConsPlusTitlePage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semiHidden/>
    <w:rsid w:val="0021350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d">
    <w:name w:val="Без интервала1"/>
    <w:uiPriority w:val="99"/>
    <w:semiHidden/>
    <w:rsid w:val="00213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213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Абзац списка1"/>
    <w:basedOn w:val="a"/>
    <w:uiPriority w:val="99"/>
    <w:semiHidden/>
    <w:rsid w:val="0021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">
    <w:name w:val="Знак1"/>
    <w:basedOn w:val="a"/>
    <w:uiPriority w:val="99"/>
    <w:semiHidden/>
    <w:rsid w:val="002135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0">
    <w:name w:val="1"/>
    <w:basedOn w:val="a"/>
    <w:uiPriority w:val="99"/>
    <w:semiHidden/>
    <w:rsid w:val="00213500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213500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213500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4">
    <w:name w:val="footnote reference"/>
    <w:basedOn w:val="a0"/>
    <w:uiPriority w:val="99"/>
    <w:semiHidden/>
    <w:unhideWhenUsed/>
    <w:rsid w:val="00213500"/>
    <w:rPr>
      <w:vertAlign w:val="superscript"/>
    </w:rPr>
  </w:style>
  <w:style w:type="character" w:customStyle="1" w:styleId="pt-a0">
    <w:name w:val="pt-a0"/>
    <w:basedOn w:val="a0"/>
    <w:rsid w:val="00213500"/>
  </w:style>
  <w:style w:type="character" w:customStyle="1" w:styleId="82">
    <w:name w:val="Знак Знак8"/>
    <w:basedOn w:val="a0"/>
    <w:rsid w:val="00213500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213500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213500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5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50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21350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1350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1350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1350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350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350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350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50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2135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135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1350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13500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13500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13500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13500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3500"/>
  </w:style>
  <w:style w:type="paragraph" w:styleId="a3">
    <w:name w:val="Body Text"/>
    <w:basedOn w:val="a"/>
    <w:link w:val="a4"/>
    <w:uiPriority w:val="99"/>
    <w:rsid w:val="0021350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21350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213500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rsid w:val="0021350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135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13500"/>
  </w:style>
  <w:style w:type="paragraph" w:styleId="ac">
    <w:name w:val="Balloon Text"/>
    <w:basedOn w:val="a"/>
    <w:link w:val="ad"/>
    <w:uiPriority w:val="99"/>
    <w:rsid w:val="002135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1350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21350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13500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21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1350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21350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213500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213500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213500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13500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213500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213500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213500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uiPriority w:val="99"/>
    <w:rsid w:val="00213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213500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21350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13500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213500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13500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213500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213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1350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213500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13500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213500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213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213500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213500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213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213500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213500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21350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213500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213500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213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213500"/>
    <w:rPr>
      <w:sz w:val="28"/>
    </w:rPr>
  </w:style>
  <w:style w:type="paragraph" w:styleId="aff0">
    <w:name w:val="No Spacing"/>
    <w:basedOn w:val="a"/>
    <w:link w:val="aff"/>
    <w:uiPriority w:val="1"/>
    <w:qFormat/>
    <w:rsid w:val="0021350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213500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21350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213500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21350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2135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21350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2135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21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1350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1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21350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213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213500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213500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213500"/>
    <w:rPr>
      <w:sz w:val="24"/>
    </w:rPr>
  </w:style>
  <w:style w:type="paragraph" w:customStyle="1" w:styleId="aff9">
    <w:name w:val="Таб_текст"/>
    <w:basedOn w:val="aff0"/>
    <w:link w:val="aff8"/>
    <w:qFormat/>
    <w:rsid w:val="00213500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213500"/>
    <w:rPr>
      <w:sz w:val="24"/>
    </w:rPr>
  </w:style>
  <w:style w:type="paragraph" w:customStyle="1" w:styleId="affb">
    <w:name w:val="Таб_заг"/>
    <w:basedOn w:val="aff0"/>
    <w:link w:val="affa"/>
    <w:qFormat/>
    <w:rsid w:val="00213500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21350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213500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213500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21350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21350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350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213500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213500"/>
    <w:rPr>
      <w:i/>
      <w:iCs/>
    </w:rPr>
  </w:style>
  <w:style w:type="character" w:styleId="affd">
    <w:name w:val="Intense Emphasis"/>
    <w:uiPriority w:val="21"/>
    <w:qFormat/>
    <w:rsid w:val="00213500"/>
    <w:rPr>
      <w:b/>
      <w:bCs/>
      <w:i/>
      <w:iCs/>
    </w:rPr>
  </w:style>
  <w:style w:type="character" w:styleId="affe">
    <w:name w:val="Subtle Reference"/>
    <w:uiPriority w:val="31"/>
    <w:qFormat/>
    <w:rsid w:val="00213500"/>
    <w:rPr>
      <w:smallCaps/>
    </w:rPr>
  </w:style>
  <w:style w:type="character" w:styleId="afff">
    <w:name w:val="Intense Reference"/>
    <w:uiPriority w:val="32"/>
    <w:qFormat/>
    <w:rsid w:val="00213500"/>
    <w:rPr>
      <w:b/>
      <w:bCs/>
      <w:smallCaps/>
    </w:rPr>
  </w:style>
  <w:style w:type="character" w:styleId="afff0">
    <w:name w:val="Book Title"/>
    <w:uiPriority w:val="33"/>
    <w:qFormat/>
    <w:rsid w:val="00213500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21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uiPriority w:val="99"/>
    <w:semiHidden/>
    <w:unhideWhenUsed/>
    <w:rsid w:val="00213500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213500"/>
    <w:rPr>
      <w:color w:val="800080" w:themeColor="followedHyperlink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"/>
    <w:semiHidden/>
    <w:rsid w:val="00213500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213500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Нижний колонтитул Знак1"/>
    <w:aliases w:val="Не удалять! Знак1"/>
    <w:basedOn w:val="a0"/>
    <w:uiPriority w:val="99"/>
    <w:semiHidden/>
    <w:rsid w:val="00213500"/>
  </w:style>
  <w:style w:type="character" w:customStyle="1" w:styleId="1c">
    <w:name w:val="Основной текст с отступом Знак1"/>
    <w:aliases w:val="Знак11 Знак1"/>
    <w:basedOn w:val="a0"/>
    <w:uiPriority w:val="99"/>
    <w:semiHidden/>
    <w:rsid w:val="00213500"/>
  </w:style>
  <w:style w:type="paragraph" w:customStyle="1" w:styleId="ConsPlusTitlePage">
    <w:name w:val="ConsPlusTitlePage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semiHidden/>
    <w:rsid w:val="0021350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d">
    <w:name w:val="Без интервала1"/>
    <w:uiPriority w:val="99"/>
    <w:semiHidden/>
    <w:rsid w:val="00213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213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Абзац списка1"/>
    <w:basedOn w:val="a"/>
    <w:uiPriority w:val="99"/>
    <w:semiHidden/>
    <w:rsid w:val="0021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">
    <w:name w:val="Знак1"/>
    <w:basedOn w:val="a"/>
    <w:uiPriority w:val="99"/>
    <w:semiHidden/>
    <w:rsid w:val="002135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0">
    <w:name w:val="1"/>
    <w:basedOn w:val="a"/>
    <w:uiPriority w:val="99"/>
    <w:semiHidden/>
    <w:rsid w:val="00213500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213500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213500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213500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213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4">
    <w:name w:val="footnote reference"/>
    <w:basedOn w:val="a0"/>
    <w:uiPriority w:val="99"/>
    <w:semiHidden/>
    <w:unhideWhenUsed/>
    <w:rsid w:val="00213500"/>
    <w:rPr>
      <w:vertAlign w:val="superscript"/>
    </w:rPr>
  </w:style>
  <w:style w:type="character" w:customStyle="1" w:styleId="pt-a0">
    <w:name w:val="pt-a0"/>
    <w:basedOn w:val="a0"/>
    <w:rsid w:val="00213500"/>
  </w:style>
  <w:style w:type="character" w:customStyle="1" w:styleId="82">
    <w:name w:val="Знак Знак8"/>
    <w:basedOn w:val="a0"/>
    <w:rsid w:val="00213500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213500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213500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21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2020-01-09T12:33:00Z</dcterms:created>
  <dcterms:modified xsi:type="dcterms:W3CDTF">2021-09-04T10:35:00Z</dcterms:modified>
</cp:coreProperties>
</file>