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69" w:rsidRDefault="009E3A69" w:rsidP="009E3A69">
      <w:pPr>
        <w:pStyle w:val="a3"/>
        <w:jc w:val="both"/>
      </w:pPr>
      <w:hyperlink r:id="rId4" w:history="1">
        <w:r>
          <w:rPr>
            <w:rStyle w:val="a4"/>
            <w:b/>
            <w:bCs/>
            <w:color w:val="00CCFF"/>
            <w:sz w:val="30"/>
            <w:szCs w:val="30"/>
          </w:rPr>
          <w:t>Федеральный закон от 21.11.2018 N 323-ФЗ (ред. от 29.07.2017) "Об основах охраны здоровья граждан в Российской Федерации</w:t>
        </w:r>
      </w:hyperlink>
    </w:p>
    <w:p w:rsidR="009E3A69" w:rsidRDefault="009E3A69" w:rsidP="009E3A69">
      <w:pPr>
        <w:pStyle w:val="a3"/>
      </w:pP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Статья 10. Доступность и качество медицинской помощи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 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Доступность и качество медицинской помощи обеспечиваются: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2) наличием необходимого количества медицинских работников и уровнем их квалификации;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3) возможностью выбора медицинской организации и врача в соответствии с настоящим Федеральным законом;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4) применением порядков оказания медицинской помощи и стандартов медицинской помощи;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9E3A69" w:rsidRDefault="009E3A69" w:rsidP="009E3A69">
      <w:pPr>
        <w:pStyle w:val="a3"/>
        <w:jc w:val="both"/>
      </w:pPr>
      <w:r>
        <w:rPr>
          <w:sz w:val="27"/>
          <w:szCs w:val="27"/>
        </w:rPr>
        <w:t>(п. 9 введен Федеральным законом от 01.12.2014 N 419-ФЗ)</w:t>
      </w:r>
    </w:p>
    <w:p w:rsidR="001537DC" w:rsidRPr="009E3A69" w:rsidRDefault="009E3A69">
      <w:bookmarkStart w:id="0" w:name="_GoBack"/>
      <w:bookmarkEnd w:id="0"/>
    </w:p>
    <w:sectPr w:rsidR="001537DC" w:rsidRPr="009E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1"/>
    <w:rsid w:val="004E0A01"/>
    <w:rsid w:val="009C1E09"/>
    <w:rsid w:val="009E3A69"/>
    <w:rsid w:val="00E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A4D8-115C-426F-BABF-23D0437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nPi2FW7ObmvhMlKD4Ps1zMblQH4Fyc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2019-05-27T12:52:00Z</dcterms:created>
  <dcterms:modified xsi:type="dcterms:W3CDTF">2019-05-27T12:52:00Z</dcterms:modified>
</cp:coreProperties>
</file>